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91E52" w14:textId="77777777" w:rsidR="00D74BB9" w:rsidRDefault="00B9716B" w:rsidP="00B55022">
      <w:pPr>
        <w:spacing w:line="276" w:lineRule="auto"/>
        <w:ind w:left="0"/>
        <w:jc w:val="center"/>
        <w:rPr>
          <w:rFonts w:eastAsia="Calibri"/>
          <w:b/>
          <w:lang w:eastAsia="en-US"/>
        </w:rPr>
      </w:pPr>
      <w:r w:rsidRPr="00B55022">
        <w:rPr>
          <w:rFonts w:eastAsia="Calibri"/>
          <w:b/>
          <w:lang w:eastAsia="en-US"/>
        </w:rPr>
        <w:t xml:space="preserve">TOBB </w:t>
      </w:r>
      <w:r w:rsidR="00D74BB9">
        <w:rPr>
          <w:rFonts w:eastAsia="Calibri"/>
          <w:b/>
          <w:lang w:eastAsia="en-US"/>
        </w:rPr>
        <w:t xml:space="preserve">EKONOMİ VE TEKNOLOJİ ÜNİVERSİTESİ </w:t>
      </w:r>
    </w:p>
    <w:p w14:paraId="6CFC64C5" w14:textId="303EEDB0" w:rsidR="00B9716B" w:rsidRPr="00B55022" w:rsidRDefault="00B9716B" w:rsidP="00D74BB9">
      <w:pPr>
        <w:spacing w:line="276" w:lineRule="auto"/>
        <w:ind w:left="0"/>
        <w:jc w:val="center"/>
        <w:rPr>
          <w:rFonts w:eastAsia="Calibri"/>
          <w:b/>
          <w:lang w:eastAsia="en-US"/>
        </w:rPr>
      </w:pPr>
      <w:r w:rsidRPr="00B55022">
        <w:rPr>
          <w:rFonts w:eastAsia="Calibri"/>
          <w:b/>
          <w:lang w:eastAsia="en-US"/>
        </w:rPr>
        <w:t xml:space="preserve"> TIP FAKÜLTESİ</w:t>
      </w:r>
    </w:p>
    <w:p w14:paraId="29B2C132" w14:textId="77777777" w:rsidR="00B9716B" w:rsidRPr="00B55022" w:rsidRDefault="00B9716B" w:rsidP="00B55022">
      <w:pPr>
        <w:spacing w:line="276" w:lineRule="auto"/>
        <w:ind w:left="0"/>
        <w:jc w:val="center"/>
        <w:rPr>
          <w:rFonts w:eastAsia="Calibri"/>
          <w:b/>
          <w:lang w:eastAsia="en-US"/>
        </w:rPr>
      </w:pPr>
      <w:r w:rsidRPr="00B55022">
        <w:rPr>
          <w:rFonts w:eastAsia="Calibri"/>
          <w:b/>
          <w:lang w:eastAsia="en-US"/>
        </w:rPr>
        <w:t>MEZUNİYET ÖNCESİ TIP EĞİTİMİNİ</w:t>
      </w:r>
    </w:p>
    <w:p w14:paraId="49AA56BB" w14:textId="261690A4" w:rsidR="00B9716B" w:rsidRPr="00B55022" w:rsidRDefault="00B9716B" w:rsidP="00B55022">
      <w:pPr>
        <w:spacing w:line="276" w:lineRule="auto"/>
        <w:ind w:left="0"/>
        <w:jc w:val="center"/>
        <w:rPr>
          <w:rFonts w:eastAsia="Calibri"/>
          <w:b/>
          <w:lang w:eastAsia="en-US"/>
        </w:rPr>
      </w:pPr>
      <w:r w:rsidRPr="00B55022">
        <w:rPr>
          <w:rFonts w:eastAsia="Calibri"/>
          <w:b/>
          <w:lang w:eastAsia="en-US"/>
        </w:rPr>
        <w:t>DEĞERLENDİRME VE GELİŞTİRME KURULU YÖNERGESİ</w:t>
      </w:r>
    </w:p>
    <w:p w14:paraId="75589913" w14:textId="77777777" w:rsidR="00711C4F" w:rsidRDefault="00711C4F" w:rsidP="00711C4F">
      <w:pPr>
        <w:tabs>
          <w:tab w:val="left" w:pos="851"/>
        </w:tabs>
        <w:ind w:left="142" w:right="142" w:firstLine="1"/>
        <w:rPr>
          <w:color w:val="000000"/>
        </w:rPr>
      </w:pPr>
    </w:p>
    <w:p w14:paraId="4E64F100" w14:textId="31F62676" w:rsidR="00711C4F" w:rsidRPr="00A42A5D" w:rsidRDefault="00711C4F" w:rsidP="00711C4F">
      <w:pPr>
        <w:tabs>
          <w:tab w:val="left" w:pos="851"/>
        </w:tabs>
        <w:ind w:left="142" w:right="142" w:firstLine="1"/>
        <w:rPr>
          <w:b/>
        </w:rPr>
      </w:pPr>
      <w:r>
        <w:rPr>
          <w:color w:val="000000"/>
        </w:rPr>
        <w:t>(18.02.2026 tarih ve S-2026-04/1</w:t>
      </w:r>
      <w:bookmarkStart w:id="0" w:name="_GoBack"/>
      <w:bookmarkEnd w:id="0"/>
      <w:r w:rsidRPr="006B253B">
        <w:rPr>
          <w:color w:val="000000"/>
        </w:rPr>
        <w:t xml:space="preserve"> sayılı Senato kararıyla kabul edilmiştir.)</w:t>
      </w:r>
    </w:p>
    <w:p w14:paraId="26CE2D49" w14:textId="77777777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</w:p>
    <w:p w14:paraId="4F2A083D" w14:textId="79313B8C" w:rsidR="00787B6A" w:rsidRPr="00B55022" w:rsidRDefault="00787B6A" w:rsidP="00787B6A">
      <w:pPr>
        <w:spacing w:line="276" w:lineRule="auto"/>
        <w:ind w:left="0"/>
        <w:jc w:val="both"/>
        <w:rPr>
          <w:rFonts w:eastAsia="Calibri"/>
          <w:b/>
          <w:lang w:eastAsia="en-US"/>
        </w:rPr>
      </w:pPr>
      <w:r w:rsidRPr="00B55022">
        <w:rPr>
          <w:rFonts w:eastAsia="Calibri"/>
          <w:b/>
          <w:lang w:eastAsia="en-US"/>
        </w:rPr>
        <w:t xml:space="preserve">Amaç ve </w:t>
      </w:r>
      <w:r>
        <w:rPr>
          <w:rFonts w:eastAsia="Calibri"/>
          <w:b/>
          <w:lang w:eastAsia="en-US"/>
        </w:rPr>
        <w:t>k</w:t>
      </w:r>
      <w:r w:rsidRPr="00B55022">
        <w:rPr>
          <w:rFonts w:eastAsia="Calibri"/>
          <w:b/>
          <w:lang w:eastAsia="en-US"/>
        </w:rPr>
        <w:t>apsam</w:t>
      </w:r>
    </w:p>
    <w:p w14:paraId="00FADF17" w14:textId="2532D30C" w:rsidR="00787B6A" w:rsidRPr="0020357C" w:rsidRDefault="00787B6A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b/>
          <w:lang w:eastAsia="en-US"/>
        </w:rPr>
        <w:t>M</w:t>
      </w:r>
      <w:r>
        <w:rPr>
          <w:rFonts w:eastAsia="Calibri"/>
          <w:b/>
          <w:lang w:eastAsia="en-US"/>
        </w:rPr>
        <w:t>ADDE</w:t>
      </w:r>
      <w:r w:rsidRPr="00B55022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1</w:t>
      </w:r>
      <w:r w:rsidRPr="00B55022">
        <w:rPr>
          <w:rFonts w:eastAsia="Calibri"/>
          <w:lang w:eastAsia="en-US"/>
        </w:rPr>
        <w:t xml:space="preserve"> – (1) Bu Yönergenin amacı, Tıp Fakültesi mezuniyet öncesi tıp eğitim programı ile ölçme ve değerlendirme uygulamalarının </w:t>
      </w:r>
      <w:r w:rsidR="00CB18A7">
        <w:rPr>
          <w:rFonts w:eastAsia="Calibri"/>
          <w:lang w:eastAsia="en-US"/>
        </w:rPr>
        <w:t>gözden geçirilmesi</w:t>
      </w:r>
      <w:r w:rsidRPr="00B55022">
        <w:rPr>
          <w:rFonts w:eastAsia="Calibri"/>
          <w:lang w:eastAsia="en-US"/>
        </w:rPr>
        <w:t xml:space="preserve">, sürekli iyileştirilmesi ve geliştirilmesine yönelik öneriler oluşturmak üzere </w:t>
      </w:r>
      <w:r w:rsidRPr="00787B6A">
        <w:rPr>
          <w:rFonts w:eastAsia="Calibri"/>
          <w:lang w:eastAsia="en-US"/>
        </w:rPr>
        <w:t>Mezuniyet Öncesi Tıp Eğitimini Değerlendirme ve Geliştirme Kurulu</w:t>
      </w:r>
      <w:r w:rsidRPr="00B55022">
        <w:rPr>
          <w:rFonts w:eastAsia="Calibri"/>
          <w:lang w:eastAsia="en-US"/>
        </w:rPr>
        <w:t>nun kuruluşuna, görevlerine ve çalışma usul ve esaslarına ilişkin hükümleri düzenlemektir.</w:t>
      </w:r>
    </w:p>
    <w:p w14:paraId="1C5D5A71" w14:textId="40831CF6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b/>
          <w:lang w:eastAsia="en-US"/>
        </w:rPr>
        <w:t>Dayanak</w:t>
      </w:r>
    </w:p>
    <w:p w14:paraId="578B2B0F" w14:textId="5000F15A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b/>
          <w:lang w:eastAsia="en-US"/>
        </w:rPr>
        <w:t>M</w:t>
      </w:r>
      <w:r w:rsidR="00787B6A">
        <w:rPr>
          <w:rFonts w:eastAsia="Calibri"/>
          <w:b/>
          <w:lang w:eastAsia="en-US"/>
        </w:rPr>
        <w:t>ADDE</w:t>
      </w:r>
      <w:r w:rsidRPr="00B55022">
        <w:rPr>
          <w:rFonts w:eastAsia="Calibri"/>
          <w:b/>
          <w:lang w:eastAsia="en-US"/>
        </w:rPr>
        <w:t xml:space="preserve"> </w:t>
      </w:r>
      <w:r w:rsidR="00787B6A">
        <w:rPr>
          <w:rFonts w:eastAsia="Calibri"/>
          <w:b/>
          <w:lang w:eastAsia="en-US"/>
        </w:rPr>
        <w:t>2</w:t>
      </w:r>
      <w:r w:rsidRPr="00B55022">
        <w:rPr>
          <w:rFonts w:eastAsia="Calibri"/>
          <w:lang w:eastAsia="en-US"/>
        </w:rPr>
        <w:t xml:space="preserve"> – (1) Bu Yönerge, 2547 sayılı Yükseköğretim Kanunu’nun </w:t>
      </w:r>
      <w:r w:rsidR="00787B6A">
        <w:rPr>
          <w:rFonts w:eastAsia="Calibri"/>
          <w:lang w:eastAsia="en-US"/>
        </w:rPr>
        <w:t>44</w:t>
      </w:r>
      <w:r w:rsidRPr="00B55022">
        <w:rPr>
          <w:rFonts w:eastAsia="Calibri"/>
          <w:lang w:eastAsia="en-US"/>
        </w:rPr>
        <w:t xml:space="preserve"> </w:t>
      </w:r>
      <w:proofErr w:type="spellStart"/>
      <w:r w:rsidRPr="00B55022">
        <w:rPr>
          <w:rFonts w:eastAsia="Calibri"/>
          <w:lang w:eastAsia="en-US"/>
        </w:rPr>
        <w:t>nc</w:t>
      </w:r>
      <w:r w:rsidR="00787B6A">
        <w:rPr>
          <w:rFonts w:eastAsia="Calibri"/>
          <w:lang w:eastAsia="en-US"/>
        </w:rPr>
        <w:t>ü</w:t>
      </w:r>
      <w:proofErr w:type="spellEnd"/>
      <w:r w:rsidRPr="00B55022">
        <w:rPr>
          <w:rFonts w:eastAsia="Calibri"/>
          <w:lang w:eastAsia="en-US"/>
        </w:rPr>
        <w:t xml:space="preserve"> maddesi</w:t>
      </w:r>
      <w:r w:rsidR="0020357C">
        <w:rPr>
          <w:rFonts w:eastAsia="Calibri"/>
          <w:lang w:eastAsia="en-US"/>
        </w:rPr>
        <w:t xml:space="preserve"> </w:t>
      </w:r>
      <w:r w:rsidRPr="00B55022">
        <w:rPr>
          <w:rFonts w:eastAsia="Calibri"/>
          <w:lang w:eastAsia="en-US"/>
        </w:rPr>
        <w:t xml:space="preserve">ile TOBB Ekonomi ve Teknoloji Üniversitesi </w:t>
      </w:r>
      <w:r w:rsidR="00B369B5">
        <w:rPr>
          <w:rFonts w:eastAsia="Calibri"/>
          <w:lang w:eastAsia="en-US"/>
        </w:rPr>
        <w:t xml:space="preserve">Tıp Fakültesi </w:t>
      </w:r>
      <w:r w:rsidRPr="00B55022">
        <w:rPr>
          <w:rFonts w:eastAsia="Calibri"/>
          <w:lang w:eastAsia="en-US"/>
        </w:rPr>
        <w:t>Eğitim-Öğretim ve Sınav Yönetmeliğine dayanılarak hazırlanmıştır.</w:t>
      </w:r>
    </w:p>
    <w:p w14:paraId="10FFC76D" w14:textId="77777777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b/>
          <w:lang w:eastAsia="en-US"/>
        </w:rPr>
      </w:pPr>
      <w:r w:rsidRPr="00B55022">
        <w:rPr>
          <w:rFonts w:eastAsia="Calibri"/>
          <w:b/>
          <w:lang w:eastAsia="en-US"/>
        </w:rPr>
        <w:t>Tanımlar</w:t>
      </w:r>
    </w:p>
    <w:p w14:paraId="6E706EE3" w14:textId="7591FE51" w:rsidR="00B9716B" w:rsidRPr="00B55022" w:rsidRDefault="00CB18A7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b/>
          <w:lang w:eastAsia="en-US"/>
        </w:rPr>
        <w:t>M</w:t>
      </w:r>
      <w:r>
        <w:rPr>
          <w:rFonts w:eastAsia="Calibri"/>
          <w:b/>
          <w:lang w:eastAsia="en-US"/>
        </w:rPr>
        <w:t>ADDE</w:t>
      </w:r>
      <w:r w:rsidRPr="00B55022">
        <w:rPr>
          <w:rFonts w:eastAsia="Calibri"/>
          <w:b/>
          <w:lang w:eastAsia="en-US"/>
        </w:rPr>
        <w:t xml:space="preserve"> </w:t>
      </w:r>
      <w:r w:rsidR="00B9716B" w:rsidRPr="00B55022">
        <w:rPr>
          <w:rFonts w:eastAsia="Calibri"/>
          <w:b/>
          <w:lang w:eastAsia="en-US"/>
        </w:rPr>
        <w:t>3</w:t>
      </w:r>
      <w:r w:rsidR="00B9716B" w:rsidRPr="00B55022">
        <w:rPr>
          <w:rFonts w:eastAsia="Calibri"/>
          <w:lang w:eastAsia="en-US"/>
        </w:rPr>
        <w:t xml:space="preserve"> – (1) Bu Yönergede geçen;</w:t>
      </w:r>
    </w:p>
    <w:p w14:paraId="3D6979CD" w14:textId="41E7659E" w:rsidR="00B9716B" w:rsidRPr="00B55022" w:rsidRDefault="00A81121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</w:t>
      </w:r>
      <w:r w:rsidR="00B9716B" w:rsidRPr="00B55022">
        <w:rPr>
          <w:rFonts w:eastAsia="Calibri"/>
          <w:lang w:eastAsia="en-US"/>
        </w:rPr>
        <w:t>) Dekan: Tıp Fakültesi Dekanını,</w:t>
      </w:r>
    </w:p>
    <w:p w14:paraId="1272745C" w14:textId="032E5CD3" w:rsidR="00B9716B" w:rsidRPr="00B55022" w:rsidRDefault="00A81121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</w:t>
      </w:r>
      <w:r w:rsidR="00B9716B" w:rsidRPr="00B55022">
        <w:rPr>
          <w:rFonts w:eastAsia="Calibri"/>
          <w:lang w:eastAsia="en-US"/>
        </w:rPr>
        <w:t>) Kurul: Mezuniyet Öncesi Tıp Eğitimini Değerlendirme ve Geliştirme Kurulunu,</w:t>
      </w:r>
    </w:p>
    <w:p w14:paraId="4BE69A74" w14:textId="0E1D4473" w:rsidR="00B9716B" w:rsidRPr="00B55022" w:rsidRDefault="00A81121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</w:t>
      </w:r>
      <w:r w:rsidR="00B9716B" w:rsidRPr="00B55022">
        <w:rPr>
          <w:rFonts w:eastAsia="Calibri"/>
          <w:lang w:eastAsia="en-US"/>
        </w:rPr>
        <w:t>) Rektör: TOBB Ekonomi ve Teknoloji Üniversitesi Rektörünü,</w:t>
      </w:r>
    </w:p>
    <w:p w14:paraId="00626346" w14:textId="77777777" w:rsidR="00787B6A" w:rsidRDefault="00A81121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ç</w:t>
      </w:r>
      <w:r w:rsidR="00B9716B" w:rsidRPr="00B55022">
        <w:rPr>
          <w:rFonts w:eastAsia="Calibri"/>
          <w:lang w:eastAsia="en-US"/>
        </w:rPr>
        <w:t>) Tıp Fakültesi: TOBB Ekonomi ve Teknoloji Üniversitesi Tıp Fakültesini</w:t>
      </w:r>
      <w:r w:rsidR="00787B6A">
        <w:rPr>
          <w:rFonts w:eastAsia="Calibri"/>
          <w:lang w:eastAsia="en-US"/>
        </w:rPr>
        <w:t>,</w:t>
      </w:r>
    </w:p>
    <w:p w14:paraId="49511EA7" w14:textId="11181C26" w:rsidR="00B9716B" w:rsidRPr="00B55022" w:rsidRDefault="00FD2BBE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gramStart"/>
      <w:r w:rsidR="00B9716B" w:rsidRPr="00B55022">
        <w:rPr>
          <w:rFonts w:eastAsia="Calibri"/>
          <w:lang w:eastAsia="en-US"/>
        </w:rPr>
        <w:t>ifade</w:t>
      </w:r>
      <w:proofErr w:type="gramEnd"/>
      <w:r w:rsidR="00B9716B" w:rsidRPr="00B55022">
        <w:rPr>
          <w:rFonts w:eastAsia="Calibri"/>
          <w:lang w:eastAsia="en-US"/>
        </w:rPr>
        <w:t xml:space="preserve"> eder.</w:t>
      </w:r>
    </w:p>
    <w:p w14:paraId="7E99116B" w14:textId="6EF1C624" w:rsidR="00B9716B" w:rsidRPr="00B55022" w:rsidRDefault="0020357C" w:rsidP="00B55022">
      <w:pPr>
        <w:spacing w:line="276" w:lineRule="auto"/>
        <w:ind w:left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Kurul ü</w:t>
      </w:r>
      <w:r w:rsidR="00B9716B" w:rsidRPr="00B55022">
        <w:rPr>
          <w:rFonts w:eastAsia="Calibri"/>
          <w:b/>
          <w:lang w:eastAsia="en-US"/>
        </w:rPr>
        <w:t>yeleri</w:t>
      </w:r>
    </w:p>
    <w:p w14:paraId="5C9BB267" w14:textId="7CD658C4" w:rsidR="00B9716B" w:rsidRPr="00B55022" w:rsidRDefault="001E209C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b/>
          <w:lang w:eastAsia="en-US"/>
        </w:rPr>
        <w:t>M</w:t>
      </w:r>
      <w:r>
        <w:rPr>
          <w:rFonts w:eastAsia="Calibri"/>
          <w:b/>
          <w:lang w:eastAsia="en-US"/>
        </w:rPr>
        <w:t>ADDE</w:t>
      </w:r>
      <w:r w:rsidRPr="00B55022">
        <w:rPr>
          <w:rFonts w:eastAsia="Calibri"/>
          <w:b/>
          <w:lang w:eastAsia="en-US"/>
        </w:rPr>
        <w:t xml:space="preserve"> </w:t>
      </w:r>
      <w:r w:rsidR="00B9716B" w:rsidRPr="00B55022">
        <w:rPr>
          <w:rFonts w:eastAsia="Calibri"/>
          <w:b/>
          <w:lang w:eastAsia="en-US"/>
        </w:rPr>
        <w:t>4</w:t>
      </w:r>
      <w:r w:rsidR="00B9716B" w:rsidRPr="00B55022">
        <w:rPr>
          <w:rFonts w:eastAsia="Calibri"/>
          <w:lang w:eastAsia="en-US"/>
        </w:rPr>
        <w:t xml:space="preserve"> – (1) Kurul üyeleri aşağıdaki kişilerden oluşur:</w:t>
      </w:r>
    </w:p>
    <w:p w14:paraId="5C180DDB" w14:textId="6CF59CF6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 xml:space="preserve">a) </w:t>
      </w:r>
      <w:r w:rsidR="0020357C">
        <w:rPr>
          <w:rFonts w:eastAsia="Calibri"/>
          <w:lang w:eastAsia="en-US"/>
        </w:rPr>
        <w:t>Dekan,</w:t>
      </w:r>
    </w:p>
    <w:p w14:paraId="21D86EBD" w14:textId="77777777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b) Baş Koordinatör,</w:t>
      </w:r>
    </w:p>
    <w:p w14:paraId="071D1CE2" w14:textId="77777777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c) Dönem Koordinatörlüklerini temsilen birer öğretim üyesi,</w:t>
      </w:r>
    </w:p>
    <w:p w14:paraId="02E9C3E0" w14:textId="46185469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ç) Temel Tıp Bilimlerini temsilen bir öğretim üyesi,</w:t>
      </w:r>
    </w:p>
    <w:p w14:paraId="5D0C1D93" w14:textId="2E6B07B4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d) Cerrahi Tıp Bilimlerini temsilen bir öğretim üyesi,</w:t>
      </w:r>
    </w:p>
    <w:p w14:paraId="34D768E5" w14:textId="5B1349C6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 xml:space="preserve">e) </w:t>
      </w:r>
      <w:proofErr w:type="gramStart"/>
      <w:r w:rsidRPr="00B55022">
        <w:rPr>
          <w:rFonts w:eastAsia="Calibri"/>
          <w:lang w:eastAsia="en-US"/>
        </w:rPr>
        <w:t>Dahili</w:t>
      </w:r>
      <w:proofErr w:type="gramEnd"/>
      <w:r w:rsidRPr="00B55022">
        <w:rPr>
          <w:rFonts w:eastAsia="Calibri"/>
          <w:lang w:eastAsia="en-US"/>
        </w:rPr>
        <w:t xml:space="preserve"> Tıp Bilimlerini temsilen bir öğretim üyesi,</w:t>
      </w:r>
    </w:p>
    <w:p w14:paraId="46DFF787" w14:textId="296BA366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f) İlk üç sınıftan bir, dördüncü, beşinci ve altıncı sınıflardan bir</w:t>
      </w:r>
      <w:r w:rsidR="001E209C">
        <w:rPr>
          <w:rFonts w:eastAsia="Calibri"/>
          <w:lang w:eastAsia="en-US"/>
        </w:rPr>
        <w:t>er</w:t>
      </w:r>
      <w:r w:rsidRPr="00B55022">
        <w:rPr>
          <w:rFonts w:eastAsia="Calibri"/>
          <w:lang w:eastAsia="en-US"/>
        </w:rPr>
        <w:t xml:space="preserve"> </w:t>
      </w:r>
      <w:r w:rsidR="001E209C">
        <w:rPr>
          <w:rFonts w:eastAsia="Calibri"/>
          <w:lang w:eastAsia="en-US"/>
        </w:rPr>
        <w:t>olmak üzere 4 öğrenci temsilcisi.</w:t>
      </w:r>
    </w:p>
    <w:p w14:paraId="1927C3D2" w14:textId="70DB9E56" w:rsidR="00B9716B" w:rsidRPr="00B55022" w:rsidRDefault="008A2408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(2) Dekan gerekli gördüğü takdirde diğer öğrenciler ve öğretim üyelerini çalışmalara katılmak üzere davet edebilir. </w:t>
      </w:r>
    </w:p>
    <w:p w14:paraId="25901799" w14:textId="1FD393BE" w:rsidR="00B9716B" w:rsidRPr="00B55022" w:rsidRDefault="0020357C" w:rsidP="00B55022">
      <w:pPr>
        <w:spacing w:line="276" w:lineRule="auto"/>
        <w:ind w:left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Üyelerin atanması ve görev s</w:t>
      </w:r>
      <w:r w:rsidR="00B9716B" w:rsidRPr="00B55022">
        <w:rPr>
          <w:rFonts w:eastAsia="Calibri"/>
          <w:b/>
          <w:lang w:eastAsia="en-US"/>
        </w:rPr>
        <w:t>üresi</w:t>
      </w:r>
    </w:p>
    <w:p w14:paraId="66409F73" w14:textId="2C6DF4AF" w:rsidR="00292B51" w:rsidRDefault="00B55022" w:rsidP="00292B51">
      <w:pPr>
        <w:spacing w:line="276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M</w:t>
      </w:r>
      <w:r w:rsidR="0020357C">
        <w:rPr>
          <w:rFonts w:eastAsia="Calibri"/>
          <w:b/>
          <w:lang w:eastAsia="en-US"/>
        </w:rPr>
        <w:t>ADDE</w:t>
      </w:r>
      <w:r>
        <w:rPr>
          <w:rFonts w:eastAsia="Calibri"/>
          <w:b/>
          <w:lang w:eastAsia="en-US"/>
        </w:rPr>
        <w:t xml:space="preserve"> 5 </w:t>
      </w:r>
      <w:r w:rsidRPr="0020357C">
        <w:rPr>
          <w:rFonts w:eastAsia="Calibri"/>
          <w:lang w:eastAsia="en-US"/>
        </w:rPr>
        <w:t>–</w:t>
      </w:r>
      <w:r w:rsidR="00B9716B" w:rsidRPr="0020357C">
        <w:rPr>
          <w:rFonts w:eastAsia="Calibri"/>
          <w:lang w:eastAsia="en-US"/>
        </w:rPr>
        <w:t>(1</w:t>
      </w:r>
      <w:r w:rsidR="00B9716B" w:rsidRPr="00B55022">
        <w:rPr>
          <w:rFonts w:eastAsia="Calibri"/>
          <w:lang w:eastAsia="en-US"/>
        </w:rPr>
        <w:t xml:space="preserve">) Kurul üyeleri, </w:t>
      </w:r>
      <w:r w:rsidR="0054526D">
        <w:rPr>
          <w:rFonts w:eastAsia="Calibri"/>
          <w:lang w:eastAsia="en-US"/>
        </w:rPr>
        <w:t>Dekan</w:t>
      </w:r>
      <w:r w:rsidR="00B9716B" w:rsidRPr="00B55022">
        <w:rPr>
          <w:rFonts w:eastAsia="Calibri"/>
          <w:lang w:eastAsia="en-US"/>
        </w:rPr>
        <w:t xml:space="preserve"> tarafından atanır.</w:t>
      </w:r>
    </w:p>
    <w:p w14:paraId="209181CD" w14:textId="06867DFE" w:rsidR="00B9716B" w:rsidRPr="00B55022" w:rsidRDefault="00292B51" w:rsidP="00292B51">
      <w:pPr>
        <w:spacing w:line="276" w:lineRule="auto"/>
        <w:ind w:left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(2) Kurul üyelerinin görev süresi </w:t>
      </w:r>
      <w:r w:rsidRPr="00B55022">
        <w:rPr>
          <w:rFonts w:eastAsia="Calibri"/>
          <w:lang w:eastAsia="en-US"/>
        </w:rPr>
        <w:t>iki yıl</w:t>
      </w:r>
      <w:r>
        <w:rPr>
          <w:rFonts w:eastAsia="Calibri"/>
          <w:lang w:eastAsia="en-US"/>
        </w:rPr>
        <w:t xml:space="preserve">dır. Kurula tekrar atanmak mümkündür. </w:t>
      </w:r>
      <w:r w:rsidR="00B9716B" w:rsidRPr="00B55022">
        <w:rPr>
          <w:rFonts w:eastAsia="Calibri"/>
          <w:lang w:eastAsia="en-US"/>
        </w:rPr>
        <w:t xml:space="preserve">Görev süresi dolmadan üyeliği sona eren üyenin yerine aynı usulle yeni bir üye </w:t>
      </w:r>
      <w:r>
        <w:rPr>
          <w:rFonts w:eastAsia="Calibri"/>
          <w:lang w:eastAsia="en-US"/>
        </w:rPr>
        <w:t xml:space="preserve">atanabilir. </w:t>
      </w:r>
    </w:p>
    <w:p w14:paraId="092D4D4C" w14:textId="709C336A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(</w:t>
      </w:r>
      <w:r w:rsidR="00292B51">
        <w:rPr>
          <w:rFonts w:eastAsia="Calibri"/>
          <w:lang w:eastAsia="en-US"/>
        </w:rPr>
        <w:t>3</w:t>
      </w:r>
      <w:r w:rsidRPr="00B55022">
        <w:rPr>
          <w:rFonts w:eastAsia="Calibri"/>
          <w:lang w:eastAsia="en-US"/>
        </w:rPr>
        <w:t>) Dekan, Kurulun başkanlığını yürütür.</w:t>
      </w:r>
    </w:p>
    <w:p w14:paraId="29FB1C73" w14:textId="336D67EA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(</w:t>
      </w:r>
      <w:r w:rsidR="00292B51">
        <w:rPr>
          <w:rFonts w:eastAsia="Calibri"/>
          <w:lang w:eastAsia="en-US"/>
        </w:rPr>
        <w:t>4</w:t>
      </w:r>
      <w:r w:rsidRPr="00B55022">
        <w:rPr>
          <w:rFonts w:eastAsia="Calibri"/>
          <w:lang w:eastAsia="en-US"/>
        </w:rPr>
        <w:t>) Kurul, gerekli gördüğü durumlarda konu ile ilgili farklı kurum ve kuruluşlardan paydaşları çalışmalara katılmak üzere davet edebilir.</w:t>
      </w:r>
    </w:p>
    <w:p w14:paraId="28A0AC1C" w14:textId="6FE2C9E5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lastRenderedPageBreak/>
        <w:t>(</w:t>
      </w:r>
      <w:r w:rsidR="00292B51">
        <w:rPr>
          <w:rFonts w:eastAsia="Calibri"/>
          <w:lang w:eastAsia="en-US"/>
        </w:rPr>
        <w:t>5</w:t>
      </w:r>
      <w:r w:rsidRPr="00B55022">
        <w:rPr>
          <w:rFonts w:eastAsia="Calibri"/>
          <w:lang w:eastAsia="en-US"/>
        </w:rPr>
        <w:t>) Kurul, ihtiyaç duyulan konularda çalışmak üzere üyeleri arasından çalışma grupları oluşturabilir.</w:t>
      </w:r>
    </w:p>
    <w:p w14:paraId="4D301A8B" w14:textId="7D335965" w:rsidR="00B9716B" w:rsidRPr="0020357C" w:rsidRDefault="0020357C" w:rsidP="00B55022">
      <w:pPr>
        <w:spacing w:line="276" w:lineRule="auto"/>
        <w:ind w:left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Kurulun çalışma y</w:t>
      </w:r>
      <w:r w:rsidR="00B9716B" w:rsidRPr="00B55022">
        <w:rPr>
          <w:rFonts w:eastAsia="Calibri"/>
          <w:b/>
          <w:lang w:eastAsia="en-US"/>
        </w:rPr>
        <w:t>öntemi</w:t>
      </w:r>
    </w:p>
    <w:p w14:paraId="7A3753E0" w14:textId="6934D32C" w:rsidR="00B9716B" w:rsidRPr="00B55022" w:rsidRDefault="00B55022" w:rsidP="00B55022">
      <w:pPr>
        <w:spacing w:line="276" w:lineRule="auto"/>
        <w:ind w:left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M</w:t>
      </w:r>
      <w:r w:rsidR="0020357C">
        <w:rPr>
          <w:rFonts w:eastAsia="Calibri"/>
          <w:b/>
          <w:lang w:eastAsia="en-US"/>
        </w:rPr>
        <w:t>ADDE</w:t>
      </w:r>
      <w:r>
        <w:rPr>
          <w:rFonts w:eastAsia="Calibri"/>
          <w:b/>
          <w:lang w:eastAsia="en-US"/>
        </w:rPr>
        <w:t xml:space="preserve"> 6 </w:t>
      </w:r>
      <w:r w:rsidRPr="0020357C">
        <w:rPr>
          <w:rFonts w:eastAsia="Calibri"/>
          <w:lang w:eastAsia="en-US"/>
        </w:rPr>
        <w:t>–</w:t>
      </w:r>
      <w:r w:rsidR="00B9716B" w:rsidRPr="0020357C">
        <w:rPr>
          <w:rFonts w:eastAsia="Calibri"/>
          <w:lang w:eastAsia="en-US"/>
        </w:rPr>
        <w:t>(1</w:t>
      </w:r>
      <w:r w:rsidR="00B9716B" w:rsidRPr="00B55022">
        <w:rPr>
          <w:rFonts w:eastAsia="Calibri"/>
          <w:lang w:eastAsia="en-US"/>
        </w:rPr>
        <w:t xml:space="preserve">) Kurul, </w:t>
      </w:r>
      <w:r w:rsidR="00924993">
        <w:rPr>
          <w:rFonts w:eastAsia="Calibri"/>
          <w:lang w:eastAsia="en-US"/>
        </w:rPr>
        <w:t>Dekanın</w:t>
      </w:r>
      <w:r w:rsidR="00B9716B" w:rsidRPr="00B55022">
        <w:rPr>
          <w:rFonts w:eastAsia="Calibri"/>
          <w:lang w:eastAsia="en-US"/>
        </w:rPr>
        <w:t xml:space="preserve"> çağrısı ile </w:t>
      </w:r>
      <w:r w:rsidR="00292B51">
        <w:rPr>
          <w:rFonts w:eastAsia="Calibri"/>
          <w:lang w:eastAsia="en-US"/>
        </w:rPr>
        <w:t xml:space="preserve">yılda en az bir kez </w:t>
      </w:r>
      <w:r w:rsidR="00B9716B" w:rsidRPr="00B55022">
        <w:rPr>
          <w:rFonts w:eastAsia="Calibri"/>
          <w:lang w:eastAsia="en-US"/>
        </w:rPr>
        <w:t xml:space="preserve">toplanır. Toplantı gündemi </w:t>
      </w:r>
      <w:r w:rsidR="00924993">
        <w:rPr>
          <w:rFonts w:eastAsia="Calibri"/>
          <w:lang w:eastAsia="en-US"/>
        </w:rPr>
        <w:t>Dekan</w:t>
      </w:r>
      <w:r w:rsidR="00B9716B" w:rsidRPr="00B55022">
        <w:rPr>
          <w:rFonts w:eastAsia="Calibri"/>
          <w:lang w:eastAsia="en-US"/>
        </w:rPr>
        <w:t xml:space="preserve"> tarafından belirlenir. Toplantı sırasında gündem dışı konular, Kurul üyelerinin kabulü hâlinde gündeme alınır.</w:t>
      </w:r>
    </w:p>
    <w:p w14:paraId="3799BD86" w14:textId="0C4934BD" w:rsidR="00B9716B" w:rsidRPr="00B55022" w:rsidRDefault="004E1D2C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(2) Dekanlık tarafından bir </w:t>
      </w:r>
      <w:proofErr w:type="gramStart"/>
      <w:r w:rsidR="00B9716B" w:rsidRPr="00B55022">
        <w:rPr>
          <w:rFonts w:eastAsia="Calibri"/>
          <w:lang w:eastAsia="en-US"/>
        </w:rPr>
        <w:t>raportör</w:t>
      </w:r>
      <w:proofErr w:type="gramEnd"/>
      <w:r w:rsidR="00B9716B" w:rsidRPr="00B55022">
        <w:rPr>
          <w:rFonts w:eastAsia="Calibri"/>
          <w:lang w:eastAsia="en-US"/>
        </w:rPr>
        <w:t xml:space="preserve"> görevlendirilir. Raportör; toplantıya daveti yapmak, gündemi üyelere iletmek, toplantıda alınan kararları kayıt altına almak ve arşivlemekle görevlidir.</w:t>
      </w:r>
    </w:p>
    <w:p w14:paraId="20088EFB" w14:textId="1A07612F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 xml:space="preserve">(3) </w:t>
      </w:r>
      <w:r w:rsidR="00DF6334">
        <w:rPr>
          <w:rFonts w:eastAsia="Calibri"/>
          <w:lang w:eastAsia="en-US"/>
        </w:rPr>
        <w:t xml:space="preserve">Toplantı yeter sayısı üye tam sayısının salt çoğunluğu, karar yeter sayısı </w:t>
      </w:r>
      <w:r w:rsidRPr="00B55022">
        <w:rPr>
          <w:rFonts w:eastAsia="Calibri"/>
          <w:lang w:eastAsia="en-US"/>
        </w:rPr>
        <w:t>toplantıya katılan üyelerin salt çoğunluğu</w:t>
      </w:r>
      <w:r w:rsidR="00DF6334">
        <w:rPr>
          <w:rFonts w:eastAsia="Calibri"/>
          <w:lang w:eastAsia="en-US"/>
        </w:rPr>
        <w:t xml:space="preserve">dur. </w:t>
      </w:r>
      <w:r w:rsidRPr="00B55022">
        <w:rPr>
          <w:rFonts w:eastAsia="Calibri"/>
          <w:lang w:eastAsia="en-US"/>
        </w:rPr>
        <w:t xml:space="preserve"> Oyların eşitliği hâlinde </w:t>
      </w:r>
      <w:r w:rsidR="00924993">
        <w:rPr>
          <w:rFonts w:eastAsia="Calibri"/>
          <w:lang w:eastAsia="en-US"/>
        </w:rPr>
        <w:t>Dekanın</w:t>
      </w:r>
      <w:r w:rsidRPr="00B55022">
        <w:rPr>
          <w:rFonts w:eastAsia="Calibri"/>
          <w:lang w:eastAsia="en-US"/>
        </w:rPr>
        <w:t xml:space="preserve"> oyu iki oy sayılır.</w:t>
      </w:r>
    </w:p>
    <w:p w14:paraId="5E508DC3" w14:textId="5E16CCB6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(</w:t>
      </w:r>
      <w:r w:rsidR="00292B51">
        <w:rPr>
          <w:rFonts w:eastAsia="Calibri"/>
          <w:lang w:eastAsia="en-US"/>
        </w:rPr>
        <w:t>4</w:t>
      </w:r>
      <w:r w:rsidRPr="00B55022">
        <w:rPr>
          <w:rFonts w:eastAsia="Calibri"/>
          <w:lang w:eastAsia="en-US"/>
        </w:rPr>
        <w:t>) Toplantılara üst üste mazeretsiz üç kez veya bir yıl içinde toplam beş kez katılmayan üyenin üyeliği düşer.</w:t>
      </w:r>
    </w:p>
    <w:p w14:paraId="535B6215" w14:textId="77777777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(6) Kurul üyeleri üyelikten ayrılmak istemeleri hâlinde bu taleplerini gerekçesi ile birlikte yazılı olarak Dekanlığa iletir.</w:t>
      </w:r>
    </w:p>
    <w:p w14:paraId="73CE9D36" w14:textId="72C39AB0" w:rsidR="00B9716B" w:rsidRPr="00B55022" w:rsidRDefault="008C1ED8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(7) Raportör</w:t>
      </w:r>
      <w:r w:rsidR="00B9716B" w:rsidRPr="00B55022">
        <w:rPr>
          <w:rFonts w:eastAsia="Calibri"/>
          <w:lang w:eastAsia="en-US"/>
        </w:rPr>
        <w:t xml:space="preserve"> toplantılarda alınan kararları Dekanlığa yazılı olarak rapor eder.</w:t>
      </w:r>
    </w:p>
    <w:p w14:paraId="58721BCC" w14:textId="1AC4C33B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 xml:space="preserve">(8) </w:t>
      </w:r>
      <w:r w:rsidR="00624591" w:rsidRPr="00624591">
        <w:rPr>
          <w:rFonts w:eastAsia="Calibri"/>
          <w:lang w:eastAsia="en-US"/>
        </w:rPr>
        <w:t xml:space="preserve">Kurul, Üniversitenin akademik takvimine uygun olarak her eğitim-öğretim yılı içinde en az bir kez olağan toplantı yapar. Eğitim-öğretimle ilgili ihtiyaç duyulması hâlinde </w:t>
      </w:r>
      <w:r w:rsidR="00E7740A">
        <w:rPr>
          <w:rFonts w:eastAsia="Calibri"/>
          <w:lang w:eastAsia="en-US"/>
        </w:rPr>
        <w:t>Dekanın</w:t>
      </w:r>
      <w:r w:rsidR="00624591" w:rsidRPr="00624591">
        <w:rPr>
          <w:rFonts w:eastAsia="Calibri"/>
          <w:lang w:eastAsia="en-US"/>
        </w:rPr>
        <w:t xml:space="preserve"> çağrısı üzerine olağanüstü toplantılar düzenlenebilir.</w:t>
      </w:r>
    </w:p>
    <w:p w14:paraId="4228F21E" w14:textId="3151D612" w:rsidR="00B9716B" w:rsidRPr="00B55022" w:rsidRDefault="0020357C" w:rsidP="00B55022">
      <w:pPr>
        <w:spacing w:line="276" w:lineRule="auto"/>
        <w:ind w:left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Kurulun g</w:t>
      </w:r>
      <w:r w:rsidR="00B9716B" w:rsidRPr="00B55022">
        <w:rPr>
          <w:rFonts w:eastAsia="Calibri"/>
          <w:b/>
          <w:lang w:eastAsia="en-US"/>
        </w:rPr>
        <w:t>örevleri</w:t>
      </w:r>
    </w:p>
    <w:p w14:paraId="3D170CB0" w14:textId="0FC491B5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b/>
          <w:lang w:eastAsia="en-US"/>
        </w:rPr>
        <w:t>M</w:t>
      </w:r>
      <w:r w:rsidR="0020357C">
        <w:rPr>
          <w:rFonts w:eastAsia="Calibri"/>
          <w:b/>
          <w:lang w:eastAsia="en-US"/>
        </w:rPr>
        <w:t xml:space="preserve">ADDE </w:t>
      </w:r>
      <w:r w:rsidRPr="00B55022">
        <w:rPr>
          <w:rFonts w:eastAsia="Calibri"/>
          <w:b/>
          <w:lang w:eastAsia="en-US"/>
        </w:rPr>
        <w:t>7</w:t>
      </w:r>
      <w:r w:rsidRPr="00B55022">
        <w:rPr>
          <w:rFonts w:eastAsia="Calibri"/>
          <w:lang w:eastAsia="en-US"/>
        </w:rPr>
        <w:t xml:space="preserve"> – (1) Kurul, Tıp Fakültesinde yürütülen eğitim ve öğretim faaliyetlerine ilişkin aşağıda belirtilen hususlarda Dekanlığa görüş ve öneride bulunur:</w:t>
      </w:r>
    </w:p>
    <w:p w14:paraId="384E9268" w14:textId="55412D5D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a) Tıp Fakültesi eğitim-öğretim programının Ulusal Çekirdek</w:t>
      </w:r>
      <w:r w:rsidR="0020357C">
        <w:rPr>
          <w:rFonts w:eastAsia="Calibri"/>
          <w:lang w:eastAsia="en-US"/>
        </w:rPr>
        <w:t xml:space="preserve"> Eğitim Programına uygunluğu.</w:t>
      </w:r>
    </w:p>
    <w:p w14:paraId="39536AC9" w14:textId="1F7DD5B1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b) Ders kurulları ve stajl</w:t>
      </w:r>
      <w:r w:rsidR="000A7EF9">
        <w:rPr>
          <w:rFonts w:eastAsia="Calibri"/>
          <w:lang w:eastAsia="en-US"/>
        </w:rPr>
        <w:t xml:space="preserve">arda dikey ve yatay </w:t>
      </w:r>
      <w:proofErr w:type="gramStart"/>
      <w:r w:rsidR="000A7EF9">
        <w:rPr>
          <w:rFonts w:eastAsia="Calibri"/>
          <w:lang w:eastAsia="en-US"/>
        </w:rPr>
        <w:t>entegrasyon</w:t>
      </w:r>
      <w:proofErr w:type="gramEnd"/>
      <w:r w:rsidR="000A7EF9">
        <w:rPr>
          <w:rFonts w:eastAsia="Calibri"/>
          <w:lang w:eastAsia="en-US"/>
        </w:rPr>
        <w:t xml:space="preserve"> </w:t>
      </w:r>
      <w:r w:rsidR="00E47C25">
        <w:rPr>
          <w:rFonts w:eastAsia="Calibri"/>
          <w:lang w:eastAsia="en-US"/>
        </w:rPr>
        <w:t>ilkeleri</w:t>
      </w:r>
      <w:r w:rsidR="0020357C">
        <w:rPr>
          <w:rFonts w:eastAsia="Calibri"/>
          <w:lang w:eastAsia="en-US"/>
        </w:rPr>
        <w:t>.</w:t>
      </w:r>
    </w:p>
    <w:p w14:paraId="5034740A" w14:textId="5765C728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c) Eğitim kalitesinin geliştirilmesine yönelik uygulamalar</w:t>
      </w:r>
      <w:r w:rsidR="0020357C">
        <w:rPr>
          <w:rFonts w:eastAsia="Calibri"/>
          <w:lang w:eastAsia="en-US"/>
        </w:rPr>
        <w:t>.</w:t>
      </w:r>
    </w:p>
    <w:p w14:paraId="0754875E" w14:textId="7D5C5BBD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ç) Kurumsal eğitim gelişimi kapsamında eğitici eğitimi ihtiyaçlar</w:t>
      </w:r>
      <w:r w:rsidR="0020357C">
        <w:rPr>
          <w:rFonts w:eastAsia="Calibri"/>
          <w:lang w:eastAsia="en-US"/>
        </w:rPr>
        <w:t>ı.</w:t>
      </w:r>
    </w:p>
    <w:p w14:paraId="50D9CB8F" w14:textId="013FC682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lang w:eastAsia="en-US"/>
        </w:rPr>
        <w:t>d) Ölçm</w:t>
      </w:r>
      <w:r w:rsidR="0020357C">
        <w:rPr>
          <w:rFonts w:eastAsia="Calibri"/>
          <w:lang w:eastAsia="en-US"/>
        </w:rPr>
        <w:t>e ve değerlendirme süreçleri.</w:t>
      </w:r>
    </w:p>
    <w:p w14:paraId="46EE91BA" w14:textId="5662BCEE" w:rsidR="00B9716B" w:rsidRPr="00B55022" w:rsidRDefault="000A7EF9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(2)</w:t>
      </w:r>
      <w:r w:rsidR="00B9716B" w:rsidRPr="00B55022">
        <w:rPr>
          <w:rFonts w:eastAsia="Calibri"/>
          <w:lang w:eastAsia="en-US"/>
        </w:rPr>
        <w:t xml:space="preserve"> </w:t>
      </w:r>
      <w:r w:rsidR="00292B51">
        <w:rPr>
          <w:rFonts w:eastAsia="Calibri"/>
          <w:lang w:eastAsia="en-US"/>
        </w:rPr>
        <w:t xml:space="preserve">Kurul, </w:t>
      </w:r>
      <w:r w:rsidR="00B9716B" w:rsidRPr="00B55022">
        <w:rPr>
          <w:rFonts w:eastAsia="Calibri"/>
          <w:lang w:eastAsia="en-US"/>
        </w:rPr>
        <w:t>Dekan tarafından verilen diğer görevleri yerine getir</w:t>
      </w:r>
      <w:r w:rsidR="00292B51">
        <w:rPr>
          <w:rFonts w:eastAsia="Calibri"/>
          <w:lang w:eastAsia="en-US"/>
        </w:rPr>
        <w:t xml:space="preserve">ir. </w:t>
      </w:r>
      <w:r w:rsidR="00292B51" w:rsidRPr="00B55022" w:rsidDel="00292B51">
        <w:rPr>
          <w:rFonts w:eastAsia="Calibri"/>
          <w:lang w:eastAsia="en-US"/>
        </w:rPr>
        <w:t xml:space="preserve"> </w:t>
      </w:r>
    </w:p>
    <w:p w14:paraId="1B95AD74" w14:textId="77777777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b/>
          <w:lang w:eastAsia="en-US"/>
        </w:rPr>
      </w:pPr>
      <w:r w:rsidRPr="00B55022">
        <w:rPr>
          <w:rFonts w:eastAsia="Calibri"/>
          <w:b/>
          <w:lang w:eastAsia="en-US"/>
        </w:rPr>
        <w:t>Yürürlük</w:t>
      </w:r>
    </w:p>
    <w:p w14:paraId="5A27DF83" w14:textId="3F2B9290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b/>
          <w:lang w:eastAsia="en-US"/>
        </w:rPr>
        <w:t>M</w:t>
      </w:r>
      <w:r w:rsidR="0020357C">
        <w:rPr>
          <w:rFonts w:eastAsia="Calibri"/>
          <w:b/>
          <w:lang w:eastAsia="en-US"/>
        </w:rPr>
        <w:t>ADDE</w:t>
      </w:r>
      <w:r w:rsidRPr="00B55022">
        <w:rPr>
          <w:rFonts w:eastAsia="Calibri"/>
          <w:b/>
          <w:lang w:eastAsia="en-US"/>
        </w:rPr>
        <w:t xml:space="preserve"> 8</w:t>
      </w:r>
      <w:r w:rsidRPr="00B55022">
        <w:rPr>
          <w:rFonts w:eastAsia="Calibri"/>
          <w:lang w:eastAsia="en-US"/>
        </w:rPr>
        <w:t xml:space="preserve"> – (1) Bu Yönerge, TOBB Ekonomi ve Tek</w:t>
      </w:r>
      <w:r w:rsidR="0020357C">
        <w:rPr>
          <w:rFonts w:eastAsia="Calibri"/>
          <w:lang w:eastAsia="en-US"/>
        </w:rPr>
        <w:t xml:space="preserve">noloji Üniversitesi Senatosu tarafından </w:t>
      </w:r>
      <w:r w:rsidRPr="00B55022">
        <w:rPr>
          <w:rFonts w:eastAsia="Calibri"/>
          <w:lang w:eastAsia="en-US"/>
        </w:rPr>
        <w:t>kabul edildiği tarihte yürürlüğe girer.</w:t>
      </w:r>
    </w:p>
    <w:p w14:paraId="46B68147" w14:textId="77777777" w:rsidR="00B9716B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b/>
          <w:lang w:eastAsia="en-US"/>
        </w:rPr>
        <w:t>Yürütme</w:t>
      </w:r>
    </w:p>
    <w:p w14:paraId="20141527" w14:textId="5B1A46E8" w:rsidR="00E4253D" w:rsidRPr="00B55022" w:rsidRDefault="00B9716B" w:rsidP="00B55022">
      <w:pPr>
        <w:spacing w:line="276" w:lineRule="auto"/>
        <w:ind w:left="0"/>
        <w:jc w:val="both"/>
        <w:rPr>
          <w:rFonts w:eastAsia="Calibri"/>
          <w:lang w:eastAsia="en-US"/>
        </w:rPr>
      </w:pPr>
      <w:r w:rsidRPr="00B55022">
        <w:rPr>
          <w:rFonts w:eastAsia="Calibri"/>
          <w:b/>
          <w:lang w:eastAsia="en-US"/>
        </w:rPr>
        <w:t>M</w:t>
      </w:r>
      <w:r w:rsidR="0020357C">
        <w:rPr>
          <w:rFonts w:eastAsia="Calibri"/>
          <w:b/>
          <w:lang w:eastAsia="en-US"/>
        </w:rPr>
        <w:t xml:space="preserve">ADDE </w:t>
      </w:r>
      <w:r w:rsidRPr="00B55022">
        <w:rPr>
          <w:rFonts w:eastAsia="Calibri"/>
          <w:b/>
          <w:lang w:eastAsia="en-US"/>
        </w:rPr>
        <w:t>9</w:t>
      </w:r>
      <w:r w:rsidRPr="00B55022">
        <w:rPr>
          <w:rFonts w:eastAsia="Calibri"/>
          <w:lang w:eastAsia="en-US"/>
        </w:rPr>
        <w:t xml:space="preserve"> – (1) Bu Yönerge hükümleri</w:t>
      </w:r>
      <w:r w:rsidR="00292B51">
        <w:rPr>
          <w:rFonts w:eastAsia="Calibri"/>
          <w:lang w:eastAsia="en-US"/>
        </w:rPr>
        <w:t>ni</w:t>
      </w:r>
      <w:r w:rsidRPr="00B55022">
        <w:rPr>
          <w:rFonts w:eastAsia="Calibri"/>
          <w:lang w:eastAsia="en-US"/>
        </w:rPr>
        <w:t>, TOBB Ekonomi ve Teknoloji Üniversitesi Rektörü yürütür.</w:t>
      </w:r>
    </w:p>
    <w:sectPr w:rsidR="00E4253D" w:rsidRPr="00B55022" w:rsidSect="000310E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0B681F" w16cex:dateUtc="2025-11-04T10:11:10.0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A09E631" w16cid:durableId="210B681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9D5F3" w14:textId="77777777" w:rsidR="00333395" w:rsidRDefault="00333395" w:rsidP="00BF11A1">
      <w:r>
        <w:separator/>
      </w:r>
    </w:p>
  </w:endnote>
  <w:endnote w:type="continuationSeparator" w:id="0">
    <w:p w14:paraId="66E34F13" w14:textId="77777777" w:rsidR="00333395" w:rsidRDefault="00333395" w:rsidP="00BF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7635218"/>
      <w:docPartObj>
        <w:docPartGallery w:val="Page Numbers (Bottom of Page)"/>
        <w:docPartUnique/>
      </w:docPartObj>
    </w:sdtPr>
    <w:sdtEndPr/>
    <w:sdtContent>
      <w:p w14:paraId="15BDDCEE" w14:textId="7291A988" w:rsidR="00BF11A1" w:rsidRDefault="008F1A93">
        <w:pPr>
          <w:pStyle w:val="AltBilgi"/>
          <w:jc w:val="center"/>
        </w:pPr>
        <w:r>
          <w:fldChar w:fldCharType="begin"/>
        </w:r>
        <w:r w:rsidR="00BF11A1">
          <w:instrText>PAGE   \* MERGEFORMAT</w:instrText>
        </w:r>
        <w:r>
          <w:fldChar w:fldCharType="separate"/>
        </w:r>
        <w:r w:rsidR="00711C4F">
          <w:rPr>
            <w:noProof/>
          </w:rPr>
          <w:t>2</w:t>
        </w:r>
        <w:r>
          <w:fldChar w:fldCharType="end"/>
        </w:r>
      </w:p>
    </w:sdtContent>
  </w:sdt>
  <w:p w14:paraId="2FD14BE3" w14:textId="77777777" w:rsidR="00BF11A1" w:rsidRDefault="00BF11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04344" w14:textId="77777777" w:rsidR="00333395" w:rsidRDefault="00333395" w:rsidP="00BF11A1">
      <w:r>
        <w:separator/>
      </w:r>
    </w:p>
  </w:footnote>
  <w:footnote w:type="continuationSeparator" w:id="0">
    <w:p w14:paraId="179DB99E" w14:textId="77777777" w:rsidR="00333395" w:rsidRDefault="00333395" w:rsidP="00BF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554"/>
    <w:multiLevelType w:val="hybridMultilevel"/>
    <w:tmpl w:val="032A9DE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50CD0"/>
    <w:multiLevelType w:val="hybridMultilevel"/>
    <w:tmpl w:val="7F04300C"/>
    <w:lvl w:ilvl="0" w:tplc="6A50E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FAAA16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C65660D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A1"/>
    <w:rsid w:val="00017117"/>
    <w:rsid w:val="000310E0"/>
    <w:rsid w:val="00085192"/>
    <w:rsid w:val="00093B49"/>
    <w:rsid w:val="000A5271"/>
    <w:rsid w:val="000A7EF9"/>
    <w:rsid w:val="000B52C6"/>
    <w:rsid w:val="000C28FA"/>
    <w:rsid w:val="000E0587"/>
    <w:rsid w:val="000F6833"/>
    <w:rsid w:val="00117851"/>
    <w:rsid w:val="00182A8C"/>
    <w:rsid w:val="001A20C1"/>
    <w:rsid w:val="001B622D"/>
    <w:rsid w:val="001B7CAE"/>
    <w:rsid w:val="001D5145"/>
    <w:rsid w:val="001E209C"/>
    <w:rsid w:val="001E2EF5"/>
    <w:rsid w:val="0020357C"/>
    <w:rsid w:val="0023783A"/>
    <w:rsid w:val="002400A1"/>
    <w:rsid w:val="0026478D"/>
    <w:rsid w:val="00264FBF"/>
    <w:rsid w:val="00292B51"/>
    <w:rsid w:val="00293FB3"/>
    <w:rsid w:val="002A547D"/>
    <w:rsid w:val="002D5A50"/>
    <w:rsid w:val="002F26FF"/>
    <w:rsid w:val="002F3F14"/>
    <w:rsid w:val="002F60E2"/>
    <w:rsid w:val="003008A1"/>
    <w:rsid w:val="00325E5A"/>
    <w:rsid w:val="00333395"/>
    <w:rsid w:val="00334596"/>
    <w:rsid w:val="003416B4"/>
    <w:rsid w:val="0035310E"/>
    <w:rsid w:val="00361A91"/>
    <w:rsid w:val="0038077D"/>
    <w:rsid w:val="00393ABF"/>
    <w:rsid w:val="003B0F79"/>
    <w:rsid w:val="003E365E"/>
    <w:rsid w:val="004049C3"/>
    <w:rsid w:val="00414D28"/>
    <w:rsid w:val="00437BCA"/>
    <w:rsid w:val="004444E3"/>
    <w:rsid w:val="00486C32"/>
    <w:rsid w:val="004E1D2C"/>
    <w:rsid w:val="00511366"/>
    <w:rsid w:val="0054526D"/>
    <w:rsid w:val="00573945"/>
    <w:rsid w:val="00624591"/>
    <w:rsid w:val="00630BC8"/>
    <w:rsid w:val="006625B3"/>
    <w:rsid w:val="0069128F"/>
    <w:rsid w:val="006A6464"/>
    <w:rsid w:val="006B4CE0"/>
    <w:rsid w:val="006B7464"/>
    <w:rsid w:val="006C1B9E"/>
    <w:rsid w:val="006F3B7A"/>
    <w:rsid w:val="00711C4F"/>
    <w:rsid w:val="00737430"/>
    <w:rsid w:val="00755F38"/>
    <w:rsid w:val="00762C08"/>
    <w:rsid w:val="00783C27"/>
    <w:rsid w:val="00787B6A"/>
    <w:rsid w:val="007C51CE"/>
    <w:rsid w:val="008066D7"/>
    <w:rsid w:val="00817147"/>
    <w:rsid w:val="00855A8C"/>
    <w:rsid w:val="00867019"/>
    <w:rsid w:val="00872CEF"/>
    <w:rsid w:val="008936C9"/>
    <w:rsid w:val="008A2408"/>
    <w:rsid w:val="008C1ED8"/>
    <w:rsid w:val="008C57FF"/>
    <w:rsid w:val="008E10F6"/>
    <w:rsid w:val="008F1A93"/>
    <w:rsid w:val="009228D3"/>
    <w:rsid w:val="00924993"/>
    <w:rsid w:val="00952C46"/>
    <w:rsid w:val="00981449"/>
    <w:rsid w:val="009847AB"/>
    <w:rsid w:val="00985752"/>
    <w:rsid w:val="00987AC1"/>
    <w:rsid w:val="009B3E44"/>
    <w:rsid w:val="009B4434"/>
    <w:rsid w:val="009D59B9"/>
    <w:rsid w:val="009D7A88"/>
    <w:rsid w:val="009E21F8"/>
    <w:rsid w:val="009E5F40"/>
    <w:rsid w:val="009F1084"/>
    <w:rsid w:val="00A4636E"/>
    <w:rsid w:val="00A626CC"/>
    <w:rsid w:val="00A81121"/>
    <w:rsid w:val="00AB102F"/>
    <w:rsid w:val="00AB4AAA"/>
    <w:rsid w:val="00AB5779"/>
    <w:rsid w:val="00AB7486"/>
    <w:rsid w:val="00B369B5"/>
    <w:rsid w:val="00B55022"/>
    <w:rsid w:val="00B64824"/>
    <w:rsid w:val="00B74A2C"/>
    <w:rsid w:val="00B84DDE"/>
    <w:rsid w:val="00B9716B"/>
    <w:rsid w:val="00BA5995"/>
    <w:rsid w:val="00BF11A1"/>
    <w:rsid w:val="00C118AC"/>
    <w:rsid w:val="00C356F9"/>
    <w:rsid w:val="00C40EC5"/>
    <w:rsid w:val="00C437D3"/>
    <w:rsid w:val="00C57217"/>
    <w:rsid w:val="00C67FC4"/>
    <w:rsid w:val="00CB18A7"/>
    <w:rsid w:val="00CE404E"/>
    <w:rsid w:val="00D20F19"/>
    <w:rsid w:val="00D614D9"/>
    <w:rsid w:val="00D72357"/>
    <w:rsid w:val="00D74BB9"/>
    <w:rsid w:val="00DA1DCE"/>
    <w:rsid w:val="00DA4162"/>
    <w:rsid w:val="00DC41F2"/>
    <w:rsid w:val="00DE19F5"/>
    <w:rsid w:val="00DF6334"/>
    <w:rsid w:val="00DF6EEA"/>
    <w:rsid w:val="00E4253D"/>
    <w:rsid w:val="00E47C25"/>
    <w:rsid w:val="00E7740A"/>
    <w:rsid w:val="00E82A2F"/>
    <w:rsid w:val="00E939C8"/>
    <w:rsid w:val="00EC367D"/>
    <w:rsid w:val="00EE443B"/>
    <w:rsid w:val="00EE7336"/>
    <w:rsid w:val="00F15AF1"/>
    <w:rsid w:val="00F21235"/>
    <w:rsid w:val="00F5175E"/>
    <w:rsid w:val="00F70627"/>
    <w:rsid w:val="00F7799A"/>
    <w:rsid w:val="00FA5AFF"/>
    <w:rsid w:val="00FD2BBE"/>
    <w:rsid w:val="00FE2145"/>
    <w:rsid w:val="0B825395"/>
    <w:rsid w:val="26F20B3C"/>
    <w:rsid w:val="3C93AF1F"/>
    <w:rsid w:val="3CEAC65E"/>
    <w:rsid w:val="3FED40A6"/>
    <w:rsid w:val="40DD9094"/>
    <w:rsid w:val="41DE287D"/>
    <w:rsid w:val="4241B620"/>
    <w:rsid w:val="492825FA"/>
    <w:rsid w:val="4F3B4341"/>
    <w:rsid w:val="52568BA8"/>
    <w:rsid w:val="5332EADD"/>
    <w:rsid w:val="54CEBA0B"/>
    <w:rsid w:val="6A6EB069"/>
    <w:rsid w:val="6B1331BB"/>
    <w:rsid w:val="761DC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1B61"/>
  <w15:docId w15:val="{C52AA87D-1A0B-4F66-A657-584E6746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1A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11A1"/>
    <w:pPr>
      <w:spacing w:before="120" w:after="120" w:line="360" w:lineRule="auto"/>
      <w:jc w:val="both"/>
    </w:pPr>
    <w:rPr>
      <w:rFonts w:ascii="Book Antiqua" w:eastAsia="Calibri" w:hAnsi="Book Antiqua"/>
      <w:sz w:val="22"/>
      <w:szCs w:val="22"/>
      <w:lang w:val="en-GB" w:eastAsia="en-US"/>
    </w:rPr>
  </w:style>
  <w:style w:type="paragraph" w:styleId="stBilgi">
    <w:name w:val="header"/>
    <w:basedOn w:val="Normal"/>
    <w:link w:val="stBilgiChar"/>
    <w:uiPriority w:val="99"/>
    <w:unhideWhenUsed/>
    <w:rsid w:val="00BF11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11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F11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11A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A547D"/>
    <w:rPr>
      <w:b/>
      <w:bCs/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7F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7FC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ba38b2186ca344a9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fec90aca175c449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AD7DAD9021E74F813418401B413E70" ma:contentTypeVersion="11" ma:contentTypeDescription="Yeni belge oluşturun." ma:contentTypeScope="" ma:versionID="2ebc7418c18a71fdfaa6e48846c7eb8b">
  <xsd:schema xmlns:xsd="http://www.w3.org/2001/XMLSchema" xmlns:xs="http://www.w3.org/2001/XMLSchema" xmlns:p="http://schemas.microsoft.com/office/2006/metadata/properties" xmlns:ns3="aafe048c-2669-442e-8b53-5134170e53b4" targetNamespace="http://schemas.microsoft.com/office/2006/metadata/properties" ma:root="true" ma:fieldsID="d3968a29bcaa3d4025f7ad14117d377d" ns3:_="">
    <xsd:import namespace="aafe048c-2669-442e-8b53-5134170e53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e048c-2669-442e-8b53-5134170e53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72641-EF38-47DD-A89D-99661C7B40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AE9DB2-7FDE-48C2-9253-C4281C3C6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71BA8-2E9C-4312-828E-D7B89D325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e048c-2669-442e-8b53-5134170e5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DB2DC-1E6B-4E5D-8EB6-8F42F8C8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905335735434</dc:creator>
  <cp:lastModifiedBy>User</cp:lastModifiedBy>
  <cp:revision>6</cp:revision>
  <dcterms:created xsi:type="dcterms:W3CDTF">2026-02-05T11:50:00Z</dcterms:created>
  <dcterms:modified xsi:type="dcterms:W3CDTF">2026-04-14T08:21:00Z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0x010100C5AD7DAD9021E74F813418401B413E70</vt:lpwstr>
  </property>
</Properties>
</file>